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2B" w:rsidRDefault="004F672B" w:rsidP="004F672B">
      <w:pPr>
        <w:rPr>
          <w:lang w:eastAsia="zh-CN"/>
        </w:rPr>
      </w:pPr>
      <w:r>
        <w:rPr>
          <w:lang w:eastAsia="zh-CN"/>
        </w:rPr>
        <w:t xml:space="preserve">Artikel 4 lid 1 betreft de zgn. “oud-voor-nieuw regeling”.  Bij de levering van een nieuw apparaat is de distributeur verplicht om een ander soortgelijk apparaat in te nemen als hem dat wordt aangeboden. Een distributeur wijst kopers van elektrische en elektronische apparatuur duidelijk zichtbaar op deze mogelijkheid, bijvoorbeeld door middel van een (schriftelijke) mededeling in de winkel. Onder een schriftelijke mededeling kan worden verstaan een voorziening bij de ingang in de winkel, of een mededeling bij de kassa, servicepunt of informatiebalie. In geval van verkoop op afstand dient dat te gebeuren in de bestelfase voordat de koop is afgerond. Deze bepaling geldt alleen voor apparatuur van particuliere huishoudens (dus ook de daarmee naar aard en hoeveelheid vergelijkbare producten die afkomstig zijn van andere dan particuliere huishoudens). Deze inname vindt gratis plaats. Er is sprake van een gelijkwaardig apparaat als het om een apparaat gaat dat dezelfde functie heeft en gelijkwaardig is aan het geleverde nieuwe apparaat. Dus bij aankoop van een koffiezetapparaat mag een ander koffiezetapparaat (ongeacht merk of omvang) worden ingeleverd. Alle bijbehorende onderdelen en hulpstukken kunnen ook ingeleverd worden. Het is geen vereiste dat het afgedankte apparaat nog werkt. </w:t>
      </w:r>
    </w:p>
    <w:p w:rsidR="004F672B" w:rsidRDefault="004F672B" w:rsidP="004F672B">
      <w:pPr>
        <w:rPr>
          <w:lang w:eastAsia="zh-CN"/>
        </w:rPr>
      </w:pPr>
    </w:p>
    <w:p w:rsidR="004F672B" w:rsidRDefault="004F672B" w:rsidP="004F672B">
      <w:pPr>
        <w:rPr>
          <w:lang w:eastAsia="zh-CN"/>
        </w:rPr>
      </w:pPr>
      <w:r>
        <w:rPr>
          <w:lang w:eastAsia="zh-CN"/>
        </w:rPr>
        <w:t>Artikel 4 lid 2 betreft de “verkoop op afstand” (online verkoop). Winkels (web) zijn verplicht om de mogelijkheid tot inname van ‘oude’ elektrische en elektronische apparaten duidelijk aan consumenten te communiceren. Webwinkels moeten aan consumenten minimaal één inlevermogelijkheid aanbieden. Hierbij kunnen webwinkels kiezen uit de volgende opties: directe inname, later ophalen van een product, het apparaat kosteloos door de consument laten verzenden.</w:t>
      </w:r>
    </w:p>
    <w:p w:rsidR="004F672B" w:rsidRDefault="004F672B" w:rsidP="004F672B">
      <w:pPr>
        <w:rPr>
          <w:lang w:eastAsia="zh-CN"/>
        </w:rPr>
      </w:pPr>
      <w:r>
        <w:rPr>
          <w:lang w:eastAsia="zh-CN"/>
        </w:rPr>
        <w:t>De wijze waarop dit gecommuniceerd moet worden in de webwinkel, staat als volgt in de toelichting beschreven:</w:t>
      </w:r>
    </w:p>
    <w:p w:rsidR="004F672B" w:rsidRDefault="004F672B" w:rsidP="004F672B">
      <w:pPr>
        <w:rPr>
          <w:i/>
          <w:iCs/>
          <w:lang w:eastAsia="zh-CN"/>
        </w:rPr>
      </w:pPr>
    </w:p>
    <w:p w:rsidR="004F672B" w:rsidRDefault="004F672B" w:rsidP="004F672B">
      <w:pPr>
        <w:rPr>
          <w:i/>
          <w:iCs/>
          <w:lang w:eastAsia="zh-CN"/>
        </w:rPr>
      </w:pPr>
      <w:r>
        <w:rPr>
          <w:i/>
          <w:iCs/>
          <w:lang w:eastAsia="zh-CN"/>
        </w:rPr>
        <w:t>Daarnaast wordt informatie hierover in ieder geval ook opgenomen in de documenten voor aankoop en aflevering en op het deel van de website van de distributeur dat de klant moet gebruiken om een aankoop af te wikkelen, dus voordat hij een aankoop doet.</w:t>
      </w:r>
    </w:p>
    <w:p w:rsidR="004F672B" w:rsidRDefault="004F672B" w:rsidP="004F672B">
      <w:pPr>
        <w:rPr>
          <w:lang w:eastAsia="zh-CN"/>
        </w:rPr>
      </w:pPr>
    </w:p>
    <w:p w:rsidR="004F672B" w:rsidRDefault="004F672B" w:rsidP="004F672B">
      <w:pPr>
        <w:rPr>
          <w:lang w:eastAsia="zh-CN"/>
        </w:rPr>
      </w:pPr>
      <w:r>
        <w:rPr>
          <w:lang w:eastAsia="zh-CN"/>
        </w:rPr>
        <w:t>De communicatie die webwinkels op hun website doen, zal de toezichthouder (Inspectie Leefomgeving en Transport) gebruiken om toezicht te houden op de naleving van de desbetreffende wetgeving.</w:t>
      </w:r>
    </w:p>
    <w:p w:rsidR="004F672B" w:rsidRDefault="004F672B" w:rsidP="004F672B">
      <w:pPr>
        <w:rPr>
          <w:lang w:eastAsia="zh-CN"/>
        </w:rPr>
      </w:pPr>
    </w:p>
    <w:p w:rsidR="004F672B" w:rsidRDefault="004F672B" w:rsidP="004F672B">
      <w:r>
        <w:rPr>
          <w:lang w:eastAsia="zh-CN"/>
        </w:rPr>
        <w:t>Artikel 5 betreft de “oud-voor-niet regeling”. Er staat: “</w:t>
      </w:r>
      <w:r>
        <w:rPr>
          <w:i/>
          <w:iCs/>
        </w:rPr>
        <w:t xml:space="preserve">met een verkoopoppervlak voor elektrische en elektronische apparatuur van ten minste 400 vierkante meter”. </w:t>
      </w:r>
    </w:p>
    <w:p w:rsidR="004F672B" w:rsidRDefault="004F672B" w:rsidP="004F672B">
      <w:r>
        <w:t xml:space="preserve">Toelichting op dit artikel: Met dit artikel zijn distributeurs via de exploitanten van winkels (detailhandelszaken) met een verkoopoppervlak van ten minste 400 vierkante meter, waaraan zij leveren, verplicht om de inzameling van kleine afgedankte elektrische en elektronische apparatuur te verzorgen in of nabij deze winkels. Van belang is op te merken dat het uitsluitend gaat om verkoopoppervlak waarop elektrische en elektronische apparatuur te koop wordt aangeboden en niet het totale verkoopoppervlak van een winkel. </w:t>
      </w:r>
    </w:p>
    <w:p w:rsidR="004F672B" w:rsidRDefault="004F672B" w:rsidP="004F672B"/>
    <w:p w:rsidR="004F672B" w:rsidRDefault="004F672B" w:rsidP="004F672B">
      <w:r>
        <w:t>Met dit artikel is invulling gegeven aan de verplichting van de richtlijn om voor kleine apparaten een ‘oud voor niets’-regeling te introduceren bij de relatief grote winkels van elektrische en elektronische apparatuur. Dit betekent dat eindgebruikers, degenen die zich willen ontdoen van elektrische en elektronische apparatuur, dergelijke apparatuur mogen inleveren zonder dat daarvoor kosten in rekening worden gebracht en zonder de verplichting om gelijktijdig bij de inlevering een nieuw, vergelijkbaar apparaat te moeten kopen.</w:t>
      </w:r>
    </w:p>
    <w:p w:rsidR="002F5C63" w:rsidRPr="008D51DF" w:rsidRDefault="002F5C63" w:rsidP="00B3014F">
      <w:bookmarkStart w:id="0" w:name="_GoBack"/>
      <w:bookmarkEnd w:id="0"/>
    </w:p>
    <w:sectPr w:rsidR="002F5C63" w:rsidRPr="008D5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2B"/>
    <w:rsid w:val="000D41F7"/>
    <w:rsid w:val="002647DF"/>
    <w:rsid w:val="002A362E"/>
    <w:rsid w:val="002C64E7"/>
    <w:rsid w:val="002F5C63"/>
    <w:rsid w:val="00346060"/>
    <w:rsid w:val="004F672B"/>
    <w:rsid w:val="00560C80"/>
    <w:rsid w:val="00673736"/>
    <w:rsid w:val="008D51DF"/>
    <w:rsid w:val="00B301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965D1-FC66-428B-8237-2F797E76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72B"/>
    <w:pPr>
      <w:spacing w:after="0" w:line="240" w:lineRule="auto"/>
    </w:pPr>
    <w:rPr>
      <w:rFonts w:ascii="Calibri" w:hAnsi="Calibri" w:cs="Times New Roman"/>
      <w:lang w:val="nl-NL"/>
    </w:rPr>
  </w:style>
  <w:style w:type="paragraph" w:styleId="Kop1">
    <w:name w:val="heading 1"/>
    <w:basedOn w:val="Standaard"/>
    <w:next w:val="Standaard"/>
    <w:link w:val="Kop1Char"/>
    <w:uiPriority w:val="9"/>
    <w:qFormat/>
    <w:rsid w:val="002F5C63"/>
    <w:pPr>
      <w:keepNext/>
      <w:keepLines/>
      <w:spacing w:before="240" w:line="280" w:lineRule="atLeast"/>
      <w:contextualSpacing/>
      <w:outlineLvl w:val="0"/>
    </w:pPr>
    <w:rPr>
      <w:rFonts w:ascii="Verdana" w:eastAsiaTheme="majorEastAsia" w:hAnsi="Verdana" w:cstheme="majorBidi"/>
      <w:b/>
      <w:color w:val="25A037"/>
      <w:sz w:val="24"/>
      <w:szCs w:val="32"/>
      <w:lang w:val="nl-BE"/>
    </w:rPr>
  </w:style>
  <w:style w:type="paragraph" w:styleId="Kop2">
    <w:name w:val="heading 2"/>
    <w:basedOn w:val="Standaard"/>
    <w:next w:val="Standaard"/>
    <w:link w:val="Kop2Char"/>
    <w:uiPriority w:val="9"/>
    <w:unhideWhenUsed/>
    <w:qFormat/>
    <w:rsid w:val="002F5C63"/>
    <w:pPr>
      <w:keepNext/>
      <w:keepLines/>
      <w:spacing w:before="40" w:line="280" w:lineRule="atLeast"/>
      <w:contextualSpacing/>
      <w:outlineLvl w:val="1"/>
    </w:pPr>
    <w:rPr>
      <w:rFonts w:ascii="Verdana" w:eastAsiaTheme="majorEastAsia" w:hAnsi="Verdana" w:cstheme="majorBidi"/>
      <w:b/>
      <w:sz w:val="24"/>
      <w:szCs w:val="26"/>
      <w:lang w:val="nl-BE"/>
    </w:rPr>
  </w:style>
  <w:style w:type="paragraph" w:styleId="Kop3">
    <w:name w:val="heading 3"/>
    <w:basedOn w:val="Standaard"/>
    <w:next w:val="Standaard"/>
    <w:link w:val="Kop3Char"/>
    <w:uiPriority w:val="9"/>
    <w:unhideWhenUsed/>
    <w:qFormat/>
    <w:rsid w:val="002F5C63"/>
    <w:pPr>
      <w:keepNext/>
      <w:keepLines/>
      <w:spacing w:before="40" w:line="280" w:lineRule="atLeast"/>
      <w:contextualSpacing/>
      <w:outlineLvl w:val="2"/>
    </w:pPr>
    <w:rPr>
      <w:rFonts w:ascii="Verdana" w:eastAsiaTheme="majorEastAsia" w:hAnsi="Verdana" w:cstheme="majorBidi"/>
      <w:b/>
      <w:sz w:val="20"/>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5C63"/>
    <w:rPr>
      <w:rFonts w:ascii="Verdana" w:eastAsiaTheme="majorEastAsia" w:hAnsi="Verdana" w:cstheme="majorBidi"/>
      <w:b/>
      <w:color w:val="25A037"/>
      <w:sz w:val="24"/>
      <w:szCs w:val="32"/>
    </w:rPr>
  </w:style>
  <w:style w:type="character" w:customStyle="1" w:styleId="Kop2Char">
    <w:name w:val="Kop 2 Char"/>
    <w:basedOn w:val="Standaardalinea-lettertype"/>
    <w:link w:val="Kop2"/>
    <w:uiPriority w:val="9"/>
    <w:rsid w:val="002F5C63"/>
    <w:rPr>
      <w:rFonts w:ascii="Verdana" w:eastAsiaTheme="majorEastAsia" w:hAnsi="Verdana" w:cstheme="majorBidi"/>
      <w:b/>
      <w:sz w:val="24"/>
      <w:szCs w:val="26"/>
    </w:rPr>
  </w:style>
  <w:style w:type="character" w:customStyle="1" w:styleId="Kop3Char">
    <w:name w:val="Kop 3 Char"/>
    <w:basedOn w:val="Standaardalinea-lettertype"/>
    <w:link w:val="Kop3"/>
    <w:uiPriority w:val="9"/>
    <w:rsid w:val="002F5C63"/>
    <w:rPr>
      <w:rFonts w:ascii="Verdana" w:eastAsiaTheme="majorEastAsia" w:hAnsi="Verdana"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NVMP</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Reinders</dc:creator>
  <cp:keywords/>
  <dc:description/>
  <cp:lastModifiedBy>Jacqueline Reinders</cp:lastModifiedBy>
  <cp:revision>1</cp:revision>
  <dcterms:created xsi:type="dcterms:W3CDTF">2019-07-16T08:25:00Z</dcterms:created>
  <dcterms:modified xsi:type="dcterms:W3CDTF">2019-07-16T08:26:00Z</dcterms:modified>
</cp:coreProperties>
</file>